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5829F9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5829F9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pro město Šlapanice – ul. </w:t>
            </w:r>
            <w:r w:rsidR="005829F9">
              <w:rPr>
                <w:b/>
                <w:color w:val="000000" w:themeColor="text1"/>
              </w:rPr>
              <w:t>Riegrova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r w:rsidRPr="007A33A0">
        <w:rPr>
          <w:b/>
          <w:szCs w:val="24"/>
          <w:lang w:eastAsia="ar-SA"/>
        </w:rPr>
        <w:t xml:space="preserve">Čestně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>, neboť nejsem účastníkem, který</w:t>
      </w:r>
      <w:r w:rsidRPr="007A33A0">
        <w:rPr>
          <w:b/>
          <w:szCs w:val="24"/>
          <w:lang w:eastAsia="ar-SA"/>
        </w:rPr>
        <w:t xml:space="preserve">: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5829F9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5829F9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 xml:space="preserve"> - „Rekonstrukce chodníku pro město Šlapanice – ul. </w:t>
            </w:r>
            <w:r w:rsidR="005829F9">
              <w:rPr>
                <w:b/>
                <w:color w:val="000000" w:themeColor="text1"/>
              </w:rPr>
              <w:t>Riegrova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0E" w:rsidRDefault="0006160E" w:rsidP="00DB442A">
      <w:pPr>
        <w:spacing w:after="0" w:line="240" w:lineRule="auto"/>
      </w:pPr>
      <w:r>
        <w:separator/>
      </w:r>
    </w:p>
  </w:endnote>
  <w:endnote w:type="continuationSeparator" w:id="0">
    <w:p w:rsidR="0006160E" w:rsidRDefault="0006160E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5829F9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5829F9" w:rsidRPr="005829F9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0E" w:rsidRDefault="0006160E" w:rsidP="00DB442A">
      <w:pPr>
        <w:spacing w:after="0" w:line="240" w:lineRule="auto"/>
      </w:pPr>
      <w:r>
        <w:separator/>
      </w:r>
    </w:p>
  </w:footnote>
  <w:footnote w:type="continuationSeparator" w:id="0">
    <w:p w:rsidR="0006160E" w:rsidRDefault="0006160E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6160E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829F9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677990"/>
    <w:rsid w:val="007001A6"/>
    <w:rsid w:val="007167D5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80C0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E0B50-7A0D-4CF4-B26B-DE8A86D4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2017-02-28T08:56:00Z</dcterms:created>
  <dcterms:modified xsi:type="dcterms:W3CDTF">2017-02-28T08:56:00Z</dcterms:modified>
</cp:coreProperties>
</file>